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b/>
          <w:bCs/>
          <w:color w:val="1C2733"/>
          <w:sz w:val="44"/>
          <w:szCs w:val="44"/>
        </w:rPr>
        <w:t xml:space="preserve">STRUCTURER ET VALIDER</w:t>
      </w:r>
    </w:p>
    <w:p>
      <w:pPr>
        <w:spacing w:after="200"/>
      </w:pPr>
      <w:r>
        <w:rPr>
          <w:b/>
          <w:bCs/>
          <w:color w:val="0F766E"/>
          <w:sz w:val="44"/>
          <w:szCs w:val="44"/>
        </w:rPr>
        <w:t xml:space="preserve">UN LIVRABLE IA</w:t>
      </w:r>
    </w:p>
    <w:p>
      <w:pPr>
        <w:spacing w:after="100"/>
      </w:pPr>
      <w:r>
        <w:rPr>
          <w:i/>
          <w:iCs/>
          <w:color w:val="5E6D7A"/>
          <w:sz w:val="22"/>
          <w:szCs w:val="22"/>
        </w:rPr>
        <w:t xml:space="preserve">Template applicatif et double niveau de test — méthodologie appliquée sur 14 applications en production</w:t>
      </w:r>
    </w:p>
    <w:p>
      <w:pPr>
        <w:spacing w:after="400"/>
      </w:pPr>
      <w:r>
        <w:rPr>
          <w:color w:val="5E6D7A"/>
          <w:sz w:val="18"/>
          <w:szCs w:val="18"/>
        </w:rPr>
        <w:t>ThinknSolv · Plateforme Agents IA · Contrôle Qualité IA · v1.0 · 5 septembre 2026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Titre</w:t>
            </w:r>
          </w:p>
        </w:tc>
        <w:tc>
          <w:tcPr>
            <w:tcW w:type="dxa" w:w="4680"/>
          </w:tcPr>
          <w:p>
            <w:r>
              <w:t>Structurer et valider un livrable IA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4680"/>
          </w:tcPr>
          <w:p>
            <w:r>
              <w:t>1.0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Propriétaire</w:t>
            </w:r>
          </w:p>
        </w:tc>
        <w:tc>
          <w:tcPr>
            <w:tcW w:type="dxa" w:w="4680"/>
          </w:tcPr>
          <w:p>
            <w:r>
              <w:t>Laurent Perier / ThinknSolv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Statut</w:t>
            </w:r>
          </w:p>
        </w:tc>
        <w:tc>
          <w:tcPr>
            <w:tcW w:type="dxa" w:w="4680"/>
          </w:tcPr>
          <w:p>
            <w:r>
              <w:t>Approuvé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Date d'effet</w:t>
            </w:r>
          </w:p>
        </w:tc>
        <w:tc>
          <w:tcPr>
            <w:tcW w:type="dxa" w:w="4680"/>
          </w:tcPr>
          <w:p>
            <w:r>
              <w:t>29 août 2026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Dernière revue</w:t>
            </w:r>
          </w:p>
        </w:tc>
        <w:tc>
          <w:tcPr>
            <w:tcW w:type="dxa" w:w="4680"/>
          </w:tcPr>
          <w:p>
            <w:r>
              <w:t>16 septembre 2026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Prochain déclencheur de revue</w:t>
            </w:r>
          </w:p>
        </w:tc>
        <w:tc>
          <w:tcPr>
            <w:tcW w:type="dxa" w:w="4680"/>
          </w:tcPr>
          <w:p>
            <w:r>
              <w:t>Changement du gabarit source (_Template-master), évolution du processus de test à deux niveaux, ou revue annuelle par défaut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Document de tutelle</w:t>
            </w:r>
          </w:p>
        </w:tc>
        <w:tc>
          <w:tcPr>
            <w:tcW w:type="dxa" w:w="4680"/>
          </w:tcPr>
          <w:p>
            <w:r>
              <w:t>Standard qualité et preuve IA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Source de vérité</w:t>
            </w:r>
          </w:p>
        </w:tc>
        <w:tc>
          <w:tcPr>
            <w:tcW w:type="dxa" w:w="4680"/>
          </w:tcPr>
          <w:p>
            <w:r>
              <w:t>AI_Quality_Structuring_and_Testing.docx, cette version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Résumé du changement</w:t>
            </w:r>
          </w:p>
        </w:tc>
        <w:tc>
          <w:tcPr>
            <w:tcW w:type="dxa" w:w="4680"/>
          </w:tcPr>
          <w:p>
            <w:r>
              <w:t>Chapitre 7 corrigé le 2026-09-16 (tableau des documents de cadrage 3 -&gt; 2 lignes) ; méthodologie propre inchangée depuis la création</w:t>
            </w:r>
          </w:p>
        </w:tc>
      </w:tr>
    </w:tbl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LE PROBLÈME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1. Pourquoi un template, pas une improvisation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Sans structure fixe, chaque livrable assisté par IA est un pari isolé. Trois conséquences concrètes en découlent :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Rien à comparer — chaque livrable a sa propre structure : impossible de savoir en un coup d’œil si un dossier est complet.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Rien à auditer systématiquement — sans manifeste fixe, une vérification de qualité doit être réinventée à chaque projet.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Aucune garantie de transfert — ce qui a marché une fois ne dit rien sur le livrable suivant, s’il n’existe pas de gabarit commun.</w:t>
      </w:r>
    </w:p>
    <w:p>
      <w:pPr>
        <w:spacing w:after="300" w:before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B5D9B8" w:sz="4"/>
              <w:left w:val="single" w:color="B5D9B8" w:sz="4"/>
              <w:bottom w:val="single" w:color="B5D9B8" w:sz="4"/>
              <w:right w:val="single" w:color="B5D9B8" w:sz="4"/>
            </w:tcBorders>
            <w:shd w:fill="E8F5E9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B8A3A"/>
                <w:sz w:val="21"/>
                <w:szCs w:val="21"/>
              </w:rPr>
              <w:t xml:space="preserve">La réponse : un template unique, dérivé vers 14 applications réelles — même structure, même processus de validation, à chaque fois.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LE GABARIT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2. Le template d’un dossier applicatif — vue d’ensemble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Un seul gabarit source (_Template-master) est copié et adapté pour chaque nouveau projet — jamais réécrit de zéro. Il regroupe quatre familles 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0F76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Catégorie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0F76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Fichiers</w:t>
            </w:r>
          </w:p>
        </w:tc>
      </w:tr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Interface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index.html (ou export), eula.html, help.html, cas-usage.html</w:t>
            </w:r>
          </w:p>
        </w:tc>
      </w:tr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Documentation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CONTEXTE.md et/ou README.md, CHANGELOG.md</w:t>
            </w:r>
          </w:p>
        </w:tc>
      </w:tr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Tests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test_*.py (un par projet)</w:t>
            </w:r>
          </w:p>
        </w:tc>
      </w:tr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Livrables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Cas_usage_*.docx/.pdf, Rapport_resultats_*.docx/.pdf</w:t>
            </w:r>
          </w:p>
        </w:tc>
      </w:tr>
    </w:tbl>
    <w:p>
      <w:pPr>
        <w:spacing w:before="300"/>
      </w:pP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LE GABARIT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3. Fichier par fichier — quoi / pourquoi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0F76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Fichier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0F76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Quoi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0F76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Pourquoi</w:t>
            </w:r>
          </w:p>
        </w:tc>
      </w:tr>
      <w:tr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Interface (index/eula/help/cas-usage)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Ce que l’utilisateur voit et utilise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Cas d’usage documenté avant même le code — pas ajouté après coup</w:t>
            </w:r>
          </w:p>
        </w:tc>
      </w:tr>
      <w:tr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CONTEXTE.md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Décisions prises, et pourquoi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Le "pourquoi" ne se lit pas dans le code — sans lui, toute reprise repart de zéro</w:t>
            </w:r>
          </w:p>
        </w:tc>
      </w:tr>
      <w:tr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CHANGELOG.md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Historique daté des changements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Traçabilité : qui a changé quoi, quand, pourquoi</w:t>
            </w:r>
          </w:p>
        </w:tc>
      </w:tr>
      <w:tr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test_*.py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Vérification automatisée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Une preuve reproductible — pas une affirmation qu’on espère vraie</w:t>
            </w:r>
          </w:p>
        </w:tc>
      </w:tr>
      <w:tr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Cas_usage / Rapport_resultats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Livrable présentable à un tiers</w:t>
            </w:r>
          </w:p>
        </w:tc>
        <w:tc>
          <w:tcPr>
            <w:tcW w:type="pct" w:w="33.333333333333336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L’audit qualité et la communication client partagent le même contenu de base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VALIDATION — NIVEAU 1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4. Le processus de test au niveau application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Ce qui est vérifié sur UN livrable avant de le considérer terminé :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1 — Manifeste complet : tous les fichiers attendus du template sont présents — vérifié, pas supposé.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2 — Hygiène : 0 ressource externe chargée depuis un domaine, 0 secret codé en dur.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3 — Logique métier vérifiée : les formules et calculs sont recalculés indépendamment — un test qui passe ne suffit pas seul.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4 — Vérification visuelle réelle : le rendu est contrôlé dans un vrai navigateur — pas supposé correct parce que le code "a l’air bon".</w:t>
      </w:r>
    </w:p>
    <w:p>
      <w:pPr>
        <w:spacing w:before="300"/>
      </w:pP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VALIDATION — NIVEAU 2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5. Le processus de test au niveau plateforme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La couche suivante vérifie la cohérence entre TOUS les livrables, pas seulement le dernier en date :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Un contrôle qui scanne tous les projets — pas projet par projet, un seul passage sur l’ensemble du référentiel.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Détection des orphelins — un projet complet et testé, mais jamais relié depuis le point d’entrée. Un incident réel déjà rencontré et corrigé sur cette plateforme.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color w:val="1C2733"/>
          <w:sz w:val="21"/>
          <w:szCs w:val="21"/>
        </w:rPr>
        <w:t xml:space="preserve">Cohérence de convention — le même fichier attendu partout, pas seulement sur le projet livré aujourd’hui.</w:t>
      </w:r>
    </w:p>
    <w:p>
      <w:pPr>
        <w:spacing w:after="300" w:before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F0D98A" w:sz="4"/>
              <w:left w:val="single" w:color="F0D98A" w:sz="4"/>
              <w:bottom w:val="single" w:color="F0D98A" w:sz="4"/>
              <w:right w:val="single" w:color="F0D98A" w:sz="4"/>
            </w:tcBorders>
            <w:shd w:fill="FEF8E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B7950B"/>
                <w:sz w:val="21"/>
                <w:szCs w:val="21"/>
              </w:rPr>
              <w:t xml:space="preserve">Résultat concret : un seul audit de cohérence a fait passer la suite de tests de 160 à 175 contrôles (29 août 2026).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UNE ÉTUDE DE CAS RÉELLE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6. Agents IA / ThinknSolv — 29 août 2026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Un incident réel de cette plateforme, gardé concret plutôt qu’abstrait en exemple hypothétique :</w:t>
      </w:r>
    </w:p>
    <w:p>
      <w:pPr>
        <w:spacing w:after="100" w:before="100"/>
      </w:pPr>
      <w:r>
        <w:rPr>
          <w:b/>
          <w:bCs/>
          <w:color w:val="C0392B"/>
          <w:sz w:val="22"/>
          <w:szCs w:val="22"/>
        </w:rPr>
        <w:t xml:space="preserve">1 — Un lien vérifié sur 1 seul fichier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Un lien de navigation a été ajouté sur environ 34 fichiers, mais testé sur un seul avant la mise en production. Résultat : une 404 en ligne — la structure vérifiée en local ne correspondait pas à la structure réellement déployée.</w:t>
      </w:r>
    </w:p>
    <w:p>
      <w:pPr>
        <w:spacing w:after="100" w:before="100"/>
      </w:pPr>
      <w:r>
        <w:rPr>
          <w:b/>
          <w:bCs/>
          <w:color w:val="C0392B"/>
          <w:sz w:val="22"/>
          <w:szCs w:val="22"/>
        </w:rPr>
        <w:t xml:space="preserve">2 — "Toute la suite" annoncée — faux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Un second contrôle a affirmé une couverture complète. Un audit réel a ensuite révélé environ 27 fichiers oubliés, dont un lien encodé différemment, raté par une recherche trop littérale.</w:t>
      </w:r>
    </w:p>
    <w:p>
      <w:pPr>
        <w:spacing w:after="100" w:before="100"/>
      </w:pPr>
      <w:r>
        <w:rPr>
          <w:b/>
          <w:bCs/>
          <w:color w:val="1B8A3A"/>
          <w:sz w:val="22"/>
          <w:szCs w:val="22"/>
        </w:rPr>
        <w:t xml:space="preserve">✓ La correction</w:t>
      </w:r>
    </w:p>
    <w:p>
      <w:pPr>
        <w:spacing w:after="140"/>
      </w:pPr>
      <w:r>
        <w:rPr>
          <w:color w:val="1C2733"/>
          <w:sz w:val="21"/>
          <w:szCs w:val="21"/>
        </w:rPr>
        <w:t xml:space="preserve">Un script a été écrit pour tester réellement chaque occurrence, contre la structure réellement en ligne — produisant un décompte exhaustif (N/N), jamais un échantillon qu’on généralise en "toute la suite".</w:t>
      </w:r>
    </w:p>
    <w:p>
      <w:pPr>
        <w:spacing w:after="200" w:before="200"/>
      </w:pPr>
      <w:r>
        <w:rPr>
          <w:b/>
          <w:bCs/>
          <w:i/>
          <w:iCs/>
          <w:color w:val="1C2733"/>
          <w:sz w:val="21"/>
          <w:szCs w:val="21"/>
        </w:rPr>
        <w:t xml:space="preserve">Leçon : une suite de tests qui passe ne prouve que ce qu’elle a été conçue pour vérifier — pas la question qu’on se pose après coup.</w:t>
      </w: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LE CADRE GÉNÉRAL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7. Ce document et le Standard AI Quality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0F76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Document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0F766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Rôle</w:t>
            </w:r>
          </w:p>
        </w:tc>
      </w:tr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 xml:space="preserve">Standard complet (v6.1)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 xml:space="preserve">Le référentiel : intégrité factuelle, pas d’estimation silencieuse, non-régression testée, contre-argument systématique.</w:t>
            </w:r>
          </w:p>
        </w:tc>
      </w:tr>
      <w:tr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C2733"/>
                <w:sz w:val="19"/>
                <w:szCs w:val="19"/>
              </w:rPr>
              <w:t>Lite Plan (v2.0)</w:t>
            </w:r>
          </w:p>
        </w:tc>
        <w:tc>
          <w:tcPr>
            <w:tcW w:type="pct" w:w="50%"/>
            <w:tcBorders>
              <w:top w:val="single" w:color="E0E6E4" w:sz="2"/>
              <w:left w:val="single" w:color="E0E6E4" w:sz="2"/>
              <w:bottom w:val="single" w:color="E0E6E4" w:sz="2"/>
              <w:right w:val="single" w:color="E0E6E4" w:sz="2"/>
            </w:tcBorders>
            <w:shd w:fill="E6F5F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5E6D7A"/>
                <w:sz w:val="19"/>
                <w:szCs w:val="19"/>
              </w:rPr>
              <w:t>Mode allégé pour les échanges courts sans enjeu factuel ou décisionnel, incluant un gabarit une page à joindre à un livrable individuel (contexte pédagogique ou mission courte).</w:t>
            </w:r>
          </w:p>
        </w:tc>
      </w:tr>
    </w:tbl>
    <w:p>
      <w:pPr>
        <w:spacing w:before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B9E2DA" w:sz="4"/>
              <w:left w:val="single" w:color="B9E2DA" w:sz="4"/>
              <w:bottom w:val="single" w:color="B9E2DA" w:sz="4"/>
              <w:right w:val="single" w:color="B9E2DA" w:sz="4"/>
            </w:tcBorders>
            <w:shd w:fill="E6F5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0F766E"/>
                <w:sz w:val="21"/>
                <w:szCs w:val="21"/>
              </w:rPr>
              <w:t>Ces deux documents posent le cadre général. Ce document-ci montre comment ce cadre s’incarne concrètement dans un livrable réel — le gabarit de fichiers et les deux niveaux de test.</w:t>
            </w:r>
          </w:p>
        </w:tc>
      </w:tr>
    </w:tbl>
    <w:p>
      <w:r>
        <w:br w:type="page"/>
      </w: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À RETENIR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8. Quatre principes transposables au-delà de cette plateforme</w:t>
      </w:r>
    </w:p>
    <w:p>
      <w:pPr>
        <w:spacing w:after="40" w:before="160"/>
      </w:pPr>
      <w:r>
        <w:rPr>
          <w:b/>
          <w:bCs/>
          <w:color w:val="0F766E"/>
          <w:sz w:val="24"/>
          <w:szCs w:val="24"/>
        </w:rPr>
        <w:t xml:space="preserve">1. </w:t>
      </w:r>
      <w:r>
        <w:rPr>
          <w:b/>
          <w:bCs/>
          <w:color w:val="1C2733"/>
          <w:sz w:val="24"/>
          <w:szCs w:val="24"/>
        </w:rPr>
        <w:t xml:space="preserve">Un template fixe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Pas une improvisation à chaque livrable — un gabarit unique, dérivé partout.</w:t>
      </w:r>
    </w:p>
    <w:p>
      <w:pPr>
        <w:spacing w:after="40" w:before="160"/>
      </w:pPr>
      <w:r>
        <w:rPr>
          <w:b/>
          <w:bCs/>
          <w:color w:val="0F766E"/>
          <w:sz w:val="24"/>
          <w:szCs w:val="24"/>
        </w:rPr>
        <w:t xml:space="preserve">2. </w:t>
      </w:r>
      <w:r>
        <w:rPr>
          <w:b/>
          <w:bCs/>
          <w:color w:val="1C2733"/>
          <w:sz w:val="24"/>
          <w:szCs w:val="24"/>
        </w:rPr>
        <w:t xml:space="preserve">Deux niveaux de test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Le livrable seul, puis sa cohérence avec tout le reste — jamais l’un sans l’autre.</w:t>
      </w:r>
    </w:p>
    <w:p>
      <w:pPr>
        <w:spacing w:after="40" w:before="160"/>
      </w:pPr>
      <w:r>
        <w:rPr>
          <w:b/>
          <w:bCs/>
          <w:color w:val="0F766E"/>
          <w:sz w:val="24"/>
          <w:szCs w:val="24"/>
        </w:rPr>
        <w:t xml:space="preserve">3. </w:t>
      </w:r>
      <w:r>
        <w:rPr>
          <w:b/>
          <w:bCs/>
          <w:color w:val="1C2733"/>
          <w:sz w:val="24"/>
          <w:szCs w:val="24"/>
        </w:rPr>
        <w:t xml:space="preserve">Une preuve mécanique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Un décompte exhaustif, jamais un échantillon qu’on généralise en "toute la suite".</w:t>
      </w:r>
    </w:p>
    <w:p>
      <w:pPr>
        <w:spacing w:after="40" w:before="160"/>
      </w:pPr>
      <w:r>
        <w:rPr>
          <w:b/>
          <w:bCs/>
          <w:color w:val="0F766E"/>
          <w:sz w:val="24"/>
          <w:szCs w:val="24"/>
        </w:rPr>
        <w:t xml:space="preserve">4. </w:t>
      </w:r>
      <w:r>
        <w:rPr>
          <w:b/>
          <w:bCs/>
          <w:color w:val="1C2733"/>
          <w:sz w:val="24"/>
          <w:szCs w:val="24"/>
        </w:rPr>
        <w:t xml:space="preserve">Documenter le pourquoi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Pas seulement le quoi — sans ça, personne ne peut reprendre le travail.</w:t>
      </w:r>
    </w:p>
    <w:p>
      <w:pPr>
        <w:spacing w:before="300"/>
      </w:pPr>
    </w:p>
    <w:p>
      <w:pPr>
        <w:spacing w:after="60" w:before="0"/>
      </w:pPr>
      <w:r>
        <w:rPr>
          <w:b/>
          <w:bCs/>
          <w:color w:val="B7950B"/>
          <w:sz w:val="17"/>
          <w:szCs w:val="17"/>
        </w:rPr>
        <w:t xml:space="preserve">POUR ALLER PLUS LOIN</w:t>
      </w:r>
    </w:p>
    <w:p>
      <w:pPr>
        <w:pStyle w:val="Heading1"/>
        <w:spacing w:after="200" w:before="400"/>
      </w:pPr>
      <w:r>
        <w:rPr>
          <w:b/>
          <w:bCs/>
          <w:color w:val="0F766E"/>
          <w:sz w:val="30"/>
          <w:szCs w:val="30"/>
        </w:rPr>
        <w:t xml:space="preserve">9. Annexe — les fichiers réels</w:t>
      </w:r>
    </w:p>
    <w:p>
      <w:pPr>
        <w:spacing w:after="20" w:before="120"/>
      </w:pPr>
      <w:r>
        <w:rPr>
          <w:b/>
          <w:bCs/>
          <w:color w:val="0F766E"/>
          <w:sz w:val="21"/>
          <w:szCs w:val="21"/>
        </w:rPr>
        <w:t xml:space="preserve">CLAUDE.md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Racine du workspace — conventions générales, gouvernance qualité, autorisations.</w:t>
      </w:r>
    </w:p>
    <w:p>
      <w:pPr>
        <w:spacing w:after="20" w:before="120"/>
      </w:pPr>
      <w:r>
        <w:rPr>
          <w:b/>
          <w:bCs/>
          <w:color w:val="0F766E"/>
          <w:sz w:val="21"/>
          <w:szCs w:val="21"/>
        </w:rPr>
        <w:t xml:space="preserve">TWIN agents IA/CLAUDE.md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Conventions détaillées de construction des applications, manifeste standard.</w:t>
      </w:r>
    </w:p>
    <w:p>
      <w:pPr>
        <w:spacing w:after="20" w:before="120"/>
      </w:pPr>
      <w:r>
        <w:rPr>
          <w:b/>
          <w:bCs/>
          <w:color w:val="0F766E"/>
          <w:sz w:val="21"/>
          <w:szCs w:val="21"/>
        </w:rPr>
        <w:t xml:space="preserve">TWIN agents IA/_Template-master/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Le gabarit source — à copier pour tout nouveau projet.</w:t>
      </w:r>
    </w:p>
    <w:p>
      <w:pPr>
        <w:spacing w:after="20" w:before="120"/>
      </w:pPr>
      <w:r>
        <w:rPr>
          <w:b/>
          <w:bCs/>
          <w:color w:val="0F766E"/>
          <w:sz w:val="21"/>
          <w:szCs w:val="21"/>
        </w:rPr>
        <w:t xml:space="preserve">TWIN agents IA/test_suite_conventions.py</w:t>
      </w:r>
    </w:p>
    <w:p>
      <w:pPr>
        <w:spacing w:after="140"/>
      </w:pPr>
      <w:r>
        <w:rPr>
          <w:color w:val="5E6D7A"/>
          <w:sz w:val="21"/>
          <w:szCs w:val="21"/>
        </w:rPr>
        <w:t xml:space="preserve">Le contrôle de cohérence niveau plateforme, sur l’ensemble des projets.</w:t>
      </w:r>
    </w:p>
    <w:p>
      <w:pPr>
        <w:spacing w:before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F0D98A" w:sz="4"/>
              <w:left w:val="single" w:color="F0D98A" w:sz="4"/>
              <w:bottom w:val="single" w:color="F0D98A" w:sz="4"/>
              <w:right w:val="single" w:color="F0D98A" w:sz="4"/>
            </w:tcBorders>
            <w:shd w:fill="FEF8E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B7950B"/>
                <w:sz w:val="21"/>
                <w:szCs w:val="21"/>
              </w:rPr>
              <w:t xml:space="preserve">Où retrouver ce document : Plateforme de Pilotage IA → section "Contrôle Qualité IA"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2026-08-29T13:45:36.079Z</dcterms:created>
  <dcterms:modified xsi:type="dcterms:W3CDTF">2026-08-29T13:45:36.100Z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